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湛江经济技术开发区东山街道办事处</w:t>
      </w:r>
      <w:r>
        <w:rPr>
          <w:rFonts w:hint="eastAsia" w:ascii="仿宋_GB2312" w:eastAsia="仿宋_GB2312"/>
          <w:b/>
          <w:sz w:val="36"/>
          <w:szCs w:val="36"/>
        </w:rPr>
        <w:t>20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21</w:t>
      </w:r>
      <w:r>
        <w:rPr>
          <w:rFonts w:hint="eastAsia" w:ascii="仿宋_GB2312" w:eastAsia="仿宋_GB2312"/>
          <w:b/>
          <w:sz w:val="36"/>
          <w:szCs w:val="36"/>
        </w:rPr>
        <w:t>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革命老区西坑村人居环境改造经费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为加强</w:t>
      </w:r>
      <w:r>
        <w:rPr>
          <w:rFonts w:hint="eastAsia" w:ascii="仿宋_GB2312" w:eastAsia="仿宋_GB2312"/>
          <w:sz w:val="30"/>
          <w:szCs w:val="30"/>
          <w:lang w:eastAsia="zh-CN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革命老区西坑村人居环境改造经费</w:t>
      </w:r>
      <w:r>
        <w:rPr>
          <w:rFonts w:hint="eastAsia" w:ascii="仿宋_GB2312" w:eastAsia="仿宋_GB2312"/>
          <w:sz w:val="30"/>
          <w:szCs w:val="30"/>
          <w:lang w:eastAsia="zh-CN"/>
        </w:rPr>
        <w:t>的使用管理</w:t>
      </w:r>
      <w:r>
        <w:rPr>
          <w:rFonts w:hint="eastAsia" w:ascii="仿宋_GB2312" w:eastAsia="仿宋_GB2312"/>
          <w:sz w:val="30"/>
          <w:szCs w:val="30"/>
        </w:rPr>
        <w:t>，提高财政资金使用效益，</w:t>
      </w:r>
      <w:r>
        <w:rPr>
          <w:rFonts w:hint="eastAsia" w:ascii="仿宋_GB2312" w:eastAsia="仿宋_GB2312"/>
          <w:sz w:val="30"/>
          <w:szCs w:val="30"/>
          <w:lang w:eastAsia="zh-CN"/>
        </w:rPr>
        <w:t>根据</w:t>
      </w:r>
      <w:r>
        <w:rPr>
          <w:rFonts w:hint="eastAsia" w:ascii="仿宋_GB2312" w:eastAsia="仿宋_GB2312"/>
          <w:sz w:val="30"/>
          <w:szCs w:val="30"/>
        </w:rPr>
        <w:t>《关于印发项目支出绩效评价管理办法的通知》</w:t>
      </w:r>
      <w:r>
        <w:rPr>
          <w:rFonts w:hint="eastAsia" w:ascii="仿宋_GB2312" w:eastAsia="仿宋_GB2312"/>
          <w:sz w:val="30"/>
          <w:szCs w:val="30"/>
          <w:lang w:eastAsia="zh-CN"/>
        </w:rPr>
        <w:t>（</w:t>
      </w:r>
      <w:r>
        <w:rPr>
          <w:rFonts w:hint="eastAsia" w:ascii="仿宋_GB2312" w:eastAsia="仿宋_GB2312"/>
          <w:sz w:val="30"/>
          <w:szCs w:val="30"/>
        </w:rPr>
        <w:t>财预〔2020〕10 号</w:t>
      </w:r>
      <w:r>
        <w:rPr>
          <w:rFonts w:hint="eastAsia" w:ascii="仿宋_GB2312" w:eastAsia="仿宋_GB2312"/>
          <w:sz w:val="30"/>
          <w:szCs w:val="30"/>
          <w:lang w:eastAsia="zh-CN"/>
        </w:rPr>
        <w:t>）和《广东省财政厅关于印发广东省省级财政绩效评估指南的通知》（粤财绩</w:t>
      </w:r>
      <w:r>
        <w:rPr>
          <w:rFonts w:hint="eastAsia" w:ascii="仿宋_GB2312" w:eastAsia="仿宋_GB2312"/>
          <w:sz w:val="30"/>
          <w:szCs w:val="30"/>
        </w:rPr>
        <w:t>〔2020〕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sz w:val="30"/>
          <w:szCs w:val="30"/>
        </w:rPr>
        <w:t xml:space="preserve"> 号</w:t>
      </w:r>
      <w:r>
        <w:rPr>
          <w:rFonts w:hint="eastAsia" w:ascii="仿宋_GB2312" w:eastAsia="仿宋_GB2312"/>
          <w:sz w:val="30"/>
          <w:szCs w:val="30"/>
          <w:lang w:eastAsia="zh-CN"/>
        </w:rPr>
        <w:t>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湛江经济技术开发区东山街道办事处2021年革命老区西坑村人居环境改造经费4.80万元进行重点绩效评价，形成绩效评价报告。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</w:pPr>
      <w:r>
        <w:rPr>
          <w:rFonts w:hint="eastAsia" w:ascii="仿宋_GB2312" w:eastAsia="仿宋_GB2312"/>
          <w:sz w:val="30"/>
          <w:szCs w:val="30"/>
          <w:lang w:val="en-US" w:eastAsia="zh-CN"/>
        </w:rPr>
        <w:t>革命老区西坑村人居环境改造经费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共计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支出4.80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东山街道办事处。西坑村是经湛江市人民政府确认批准的抗日革命根据地村庄，2020年被评为湛江“红色100”首批建设村庄。为贯彻实施区党委的乡村振兴战略，创建文明村庄，建设湛江市“红色100”革命村庄，改善村庄人居环境，区财政下拨4.8万元用于村前南侧环村路“革命红林”片区地段硬底化及绿化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。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革命老区西坑村是抗日革命根据地村庄，具有重要的红色抗战纪念及教学意义，通过建设改造，能够较好的改善革命老区的生活、人居环境，提高革命老区文化卫生条件，进一步改善老区人民的生活环境，切实使老区群众享受到实惠；同时，维护好西坑村的卫生情况，进一步扩大西坑村红色文化的影响力与知名度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color w:val="auto"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革命老区西坑村人居环境改造经费</w:t>
      </w:r>
      <w:r>
        <w:rPr>
          <w:rFonts w:hint="eastAsia" w:ascii="仿宋_GB2312" w:hAnsi="Times New Roman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4.80</w:t>
      </w:r>
      <w:r>
        <w:rPr>
          <w:rFonts w:hint="eastAsia" w:ascii="仿宋_GB2312" w:hAnsi="Times New Roman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color w:val="auto"/>
          <w:kern w:val="2"/>
          <w:sz w:val="30"/>
          <w:szCs w:val="30"/>
          <w:lang w:val="en-US" w:eastAsia="zh-CN" w:bidi="ar-SA"/>
        </w:rPr>
        <w:t>4.80</w:t>
      </w:r>
      <w:r>
        <w:rPr>
          <w:rFonts w:hint="eastAsia" w:ascii="仿宋_GB2312" w:hAnsi="Times New Roman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100</w:t>
      </w:r>
      <w:r>
        <w:rPr>
          <w:rFonts w:hint="eastAsia" w:ascii="仿宋_GB2312" w:hAnsi="Times New Roman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%，项目支出金额</w:t>
      </w:r>
      <w:r>
        <w:rPr>
          <w:rFonts w:hint="eastAsia" w:ascii="仿宋_GB2312" w:eastAsia="仿宋_GB2312" w:cs="Times New Roman"/>
          <w:color w:val="auto"/>
          <w:kern w:val="2"/>
          <w:sz w:val="30"/>
          <w:szCs w:val="30"/>
          <w:lang w:val="en-US" w:eastAsia="zh-CN" w:bidi="ar-SA"/>
        </w:rPr>
        <w:t>4.80</w:t>
      </w:r>
      <w:r>
        <w:rPr>
          <w:rFonts w:hint="eastAsia" w:ascii="仿宋_GB2312" w:hAnsi="Times New Roman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已全部投入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西坑村人居环境改造</w:t>
      </w:r>
      <w:r>
        <w:rPr>
          <w:rFonts w:hint="eastAsia" w:ascii="仿宋_GB2312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当中，</w:t>
      </w:r>
      <w:r>
        <w:rPr>
          <w:rFonts w:hint="eastAsia" w:ascii="仿宋_GB2312" w:hAnsi="Times New Roman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。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lang w:eastAsia="zh-CN"/>
        </w:rPr>
        <w:t>从核查情况看，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革命老区西坑村人居环境改造经费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lang w:eastAsia="zh-CN"/>
        </w:rPr>
        <w:t>的管理及使用情况基本合法</w:t>
      </w: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 xml:space="preserve">结合本项目具体情况，湛江经济技术开发区东山街道办事处作为项目建设单位，根据项目责任制相关要求，建设单位全面负责工程投资控制、合同管理、质量、工期、安全等方面的管理，指导、服务、监督以及保证动态管理、动态施工的顺利畅通，确保施工作业队伍的工作紧张有序地进行。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该项目建设实现预期目标。项目立项切合实际、申报基本合规，项目资金使用合规。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1、项目成本（预算）控制情况。为了最大限度的利用有限的资金，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各预算单位要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进行成本控制，对每一项经费都务必仔细斟酌，不断精减，对每一份合同，都进行多方询价，权衡再三，以最大限度的控制活动成本。该项目所有经费按严格控制、厉行节约开支。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2、项目成本（预算）节约情况。在开展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项目结算、审核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工作中，本着勤俭节约、简单务实的原则，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各预算单位要严格按照结算收费标准支出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，力戒形式主义和形象工程。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1、项目的实施进度。根据20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年工作计划，当年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革命老区西坑村人居环境改造</w:t>
      </w:r>
      <w:r>
        <w:rPr>
          <w:rFonts w:hint="default" w:ascii="仿宋_GB2312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t>工作均按照预定计划完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革命老区西坑村人居环境改造，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有效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贯彻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落实乡村振兴战略，提高农村地区农民的生活质量。通过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西坑村人居环境改造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，改变了革命老区群众的生产生活环境，周边卫生状况明显改善，一方面提升了群众的居住环境，提高生活质量；另一方面通过道路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硬底化绿化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，扩大了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西坑村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红色文化的影响力。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存在的问题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由于乡镇居民对环境保护意识不强，会存在垃圾随意倾倒的情况，造成人居环境的脏乱差。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虽然整体整治效果明显，但仍发现存在绿化植被成活率不高、道路路面损毁等现象，影响了革命老区改造效果，整治成果缺乏后续维护措施。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default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为维护对革命老区的人居环境的改善效果，应加强对村民的环境保护意识，设置专门的垃圾回收站，预防村民随意乱扔垃圾，破坏人居环境。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加强建后管养，构筑长效管理机制。革命老区不但要建好，更要管好，要结合革命老区规模、管理现状、居民的承受能力情况，坚持多种模式推进，更好的维持革命老区的整治效果。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革命老区西坑村人居环境改造经费的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88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2022年1月19</w:t>
      </w:r>
      <w:bookmarkStart w:id="0" w:name="_GoBack"/>
      <w:bookmarkEnd w:id="0"/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2A649AF"/>
    <w:multiLevelType w:val="singleLevel"/>
    <w:tmpl w:val="22A649AF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35C7ACF2"/>
    <w:multiLevelType w:val="singleLevel"/>
    <w:tmpl w:val="35C7AC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27F61E7"/>
    <w:rsid w:val="02C65C36"/>
    <w:rsid w:val="0497740F"/>
    <w:rsid w:val="0FAD6294"/>
    <w:rsid w:val="10EA41B2"/>
    <w:rsid w:val="166E5287"/>
    <w:rsid w:val="1A1A3935"/>
    <w:rsid w:val="1A903DE6"/>
    <w:rsid w:val="226A2AB9"/>
    <w:rsid w:val="232D1A99"/>
    <w:rsid w:val="247054C4"/>
    <w:rsid w:val="29364AA5"/>
    <w:rsid w:val="2B061A95"/>
    <w:rsid w:val="2F967B5A"/>
    <w:rsid w:val="34001D2F"/>
    <w:rsid w:val="34235FC0"/>
    <w:rsid w:val="34AC52EB"/>
    <w:rsid w:val="37193A60"/>
    <w:rsid w:val="38A03F7C"/>
    <w:rsid w:val="3AA31A98"/>
    <w:rsid w:val="3E9F0EEA"/>
    <w:rsid w:val="432A0811"/>
    <w:rsid w:val="44133DBB"/>
    <w:rsid w:val="45DD0277"/>
    <w:rsid w:val="477536A2"/>
    <w:rsid w:val="4D4E44D3"/>
    <w:rsid w:val="50D65FF3"/>
    <w:rsid w:val="50E8551B"/>
    <w:rsid w:val="53B576D4"/>
    <w:rsid w:val="54CA2548"/>
    <w:rsid w:val="5B7326E1"/>
    <w:rsid w:val="61140575"/>
    <w:rsid w:val="626C14AC"/>
    <w:rsid w:val="62C00BCB"/>
    <w:rsid w:val="63F805D2"/>
    <w:rsid w:val="69164B73"/>
    <w:rsid w:val="6B78748E"/>
    <w:rsid w:val="6CD720AF"/>
    <w:rsid w:val="6D413A4B"/>
    <w:rsid w:val="6DF371E9"/>
    <w:rsid w:val="6E614293"/>
    <w:rsid w:val="716C3AA9"/>
    <w:rsid w:val="72312642"/>
    <w:rsid w:val="72332ABB"/>
    <w:rsid w:val="79581D85"/>
    <w:rsid w:val="797C1F70"/>
    <w:rsid w:val="7A532E95"/>
    <w:rsid w:val="7CB84245"/>
    <w:rsid w:val="7E950A27"/>
    <w:rsid w:val="7FA7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2022-03-17T02:13:15Z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1F4BB130C4EC4C49B6446BFA91E4EDBA</vt:lpwstr>
  </property>
</Properties>
</file>